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BB" w:rsidRDefault="005102E7">
      <w:pPr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Додаток </w:t>
      </w:r>
    </w:p>
    <w:p w:rsidR="00D765BB" w:rsidRDefault="005102E7">
      <w:pPr>
        <w:spacing w:after="0" w:line="240" w:lineRule="auto"/>
        <w:ind w:lef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рішення сільської ради                                                                                                             від                          року №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</w:t>
      </w:r>
    </w:p>
    <w:p w:rsidR="00D765BB" w:rsidRDefault="00D765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5BB" w:rsidRDefault="005102E7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/>
          <w:b/>
          <w:i/>
          <w:sz w:val="28"/>
          <w:szCs w:val="28"/>
          <w:lang w:val="uk-UA"/>
        </w:rPr>
        <w:br/>
        <w:t xml:space="preserve">проведення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громадських обговорень з питань добровільного об’єднання територіальних громад на території Городищенської  сільської ради</w:t>
      </w:r>
    </w:p>
    <w:p w:rsidR="00D765BB" w:rsidRDefault="00D765B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65BB" w:rsidRDefault="005102E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Загальні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положення</w:t>
      </w:r>
      <w:proofErr w:type="spellEnd"/>
    </w:p>
    <w:p w:rsidR="00D765BB" w:rsidRDefault="00D765BB">
      <w:pPr>
        <w:pStyle w:val="a7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Порядок проведення громадських обговорень з питань, передбачених Законом України «Про добровільне об’єднання тер</w:t>
      </w:r>
      <w:r>
        <w:rPr>
          <w:rFonts w:ascii="Times New Roman" w:hAnsi="Times New Roman"/>
          <w:sz w:val="28"/>
          <w:szCs w:val="28"/>
          <w:lang w:val="uk-UA" w:eastAsia="uk-UA"/>
        </w:rPr>
        <w:t>иторіальних громад» (далі – Порядок) розроблено відповідно до Закону України «Про добровільне об’єднання територіальних громад», Закону України «Про місцеве самоврядування в Україні» та з урахуванням постанови Кабінету Міністрів України від 03.11.2010 № 99</w:t>
      </w:r>
      <w:r>
        <w:rPr>
          <w:rFonts w:ascii="Times New Roman" w:hAnsi="Times New Roman"/>
          <w:sz w:val="28"/>
          <w:szCs w:val="28"/>
          <w:lang w:val="uk-UA" w:eastAsia="uk-UA"/>
        </w:rPr>
        <w:t>6 «Про забезпечення участі громадськості у формуванні та реалізації державної політики».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Порядком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встановлюється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порядок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ідготовки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Законом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добровільне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</w:t>
      </w:r>
      <w:r>
        <w:rPr>
          <w:rFonts w:ascii="Times New Roman" w:hAnsi="Times New Roman"/>
          <w:sz w:val="28"/>
          <w:szCs w:val="28"/>
          <w:lang w:eastAsia="uk-UA"/>
        </w:rPr>
        <w:t xml:space="preserve">ромад», 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порядок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врахування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Метою цього Порядку є створення нормативно-правової бази для реалізації законного права мешканців територіальної громади Городищенської сільської ради на участь в обговоренні питань ініціативи, перспектив,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наслідків і проектів рішень з питання добровільного об’єднання територіальної громади Городищенської сільської ради з суміжними територіальними громадами, взаємодії органів місцевого самоврядування, що враховує взаємні інтереси територіальних громад та ви</w:t>
      </w:r>
      <w:r>
        <w:rPr>
          <w:rFonts w:ascii="Times New Roman" w:hAnsi="Times New Roman"/>
          <w:sz w:val="28"/>
          <w:szCs w:val="28"/>
          <w:lang w:val="uk-UA" w:eastAsia="uk-UA"/>
        </w:rPr>
        <w:t>ключає виникнення соціальних конфліктів.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Предметом громадського обговорення є пропозиції, заявлені відповідно до Закону України «Про добровільне об’єднання територіальних громад» щодо добровільного об’єднання територіальної громади Городищенської сільської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ради з суміжними територіальними громадами та проекти рішень щодо добровільного об’єднання територіальної громади Городищенської  сільської ради з суміжними територіальними громадами.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Реалізація цього Порядку направлена на інформування громадськості про і</w:t>
      </w:r>
      <w:r>
        <w:rPr>
          <w:rFonts w:ascii="Times New Roman" w:hAnsi="Times New Roman"/>
          <w:sz w:val="28"/>
          <w:szCs w:val="28"/>
          <w:lang w:val="uk-UA" w:eastAsia="uk-UA"/>
        </w:rPr>
        <w:t>ніціативи та пропозиції щодо добровільного об’єднання територіальної громади Городищенської сільської ради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суміжними територіальними громадами, з’ясування громадської думки з предмету та питань, що виносяться на громадське обговорення та прийняття рішен</w:t>
      </w:r>
      <w:r>
        <w:rPr>
          <w:rFonts w:ascii="Times New Roman" w:hAnsi="Times New Roman"/>
          <w:sz w:val="28"/>
          <w:szCs w:val="28"/>
          <w:lang w:val="uk-UA" w:eastAsia="uk-UA"/>
        </w:rPr>
        <w:t>ня з обговорюваного питання.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Учасниками громадського обговорення можуть бути члени територіальної громади Городищенської сільської ради, зокрема, повнолітні дієздатні фізичні особи,  зареєстровані у селах Городище та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Кругле Рівненського району Рівненської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області у визначеному законом порядку. 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Для участі у  громадському обговоренні організаторами можуть бути запрошені фахівці з даного питання, представники суміжних територіальних громад та/або посадові особи їх органів місцевого самоврядування, а також інш</w:t>
      </w:r>
      <w:r>
        <w:rPr>
          <w:rFonts w:ascii="Times New Roman" w:hAnsi="Times New Roman"/>
          <w:sz w:val="28"/>
          <w:szCs w:val="28"/>
          <w:lang w:val="uk-UA" w:eastAsia="uk-UA"/>
        </w:rPr>
        <w:t>і зацікавлені особи, за згодою організаторів громадського обговорення.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чинитися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перешкод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представників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засобів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масової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відкритий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характер,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засадах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добровільності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гласності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свободи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висловлювань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Ніхто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визначених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п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1.6 даного Порядку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може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бути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примушений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участі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обмежений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участі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проведенні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обговорень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Організаційно - технічне забезпечення проведення громадських обговорень здійснюється сільським головою та виконавчим комітетом Городищенської сільської ради.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Витрати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пов’язані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ідготовкою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слухань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здійснюються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рахунок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кошті</w:t>
      </w:r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бюджету.</w:t>
      </w:r>
    </w:p>
    <w:p w:rsidR="00D765BB" w:rsidRDefault="00D765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765BB" w:rsidRDefault="005102E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Порядок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обговорень</w:t>
      </w:r>
      <w:proofErr w:type="spellEnd"/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Організатор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визначає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виходячи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власних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організаційних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можливостей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конференція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форум,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слухання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збори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за круглим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столом,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збори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зустрічі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побудинкові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обходи громадян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інше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Громадське обговорення пропозицій та проектів рішень щодо добровільного об’єднання територіальної громади Городищенської сільської ради з суміжними територіальними громадам</w:t>
      </w:r>
      <w:r>
        <w:rPr>
          <w:rFonts w:ascii="Times New Roman" w:hAnsi="Times New Roman"/>
          <w:sz w:val="28"/>
          <w:szCs w:val="28"/>
          <w:lang w:val="uk-UA" w:eastAsia="uk-UA"/>
        </w:rPr>
        <w:t>и здійснюється з метою забезпечення дотримання принципів добровільного об’єднання територіальних громад сіл, визначених Законом України «Про добровільне об’єднання територіальних громад», зокрема: конституційності та законності; добровільності; економічної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ефективності; державної підтримки; повсюдності місцевого самоврядування; прозорості та відкритості; відповідальності; а також, забезпечення умов об’єднання, визначених Законом, зокрема: не допущення існування у складі об’єднаної територіальної громади інш</w:t>
      </w:r>
      <w:r>
        <w:rPr>
          <w:rFonts w:ascii="Times New Roman" w:hAnsi="Times New Roman"/>
          <w:sz w:val="28"/>
          <w:szCs w:val="28"/>
          <w:lang w:val="uk-UA" w:eastAsia="uk-UA"/>
        </w:rPr>
        <w:t>ої територіальної громади, яка має свій представницький орган місцевого самоврядування; нерозривності території об’єднаної територіальної громади, межі якої визначаються по зовнішніх межах юрисдикції рад територіальних громад, що об’єдналися; врахування іс</w:t>
      </w:r>
      <w:r>
        <w:rPr>
          <w:rFonts w:ascii="Times New Roman" w:hAnsi="Times New Roman"/>
          <w:sz w:val="28"/>
          <w:szCs w:val="28"/>
          <w:lang w:val="uk-UA" w:eastAsia="uk-UA"/>
        </w:rPr>
        <w:t>торичних, природних, етнічних, культурних та інших чинників, що впливають на соціально-економічний розвиток об’єднаної територіальної громади; забезпечення якості та доступності публічних послуг, що надаються в об’єднаній територіальній громаді, на рівні н</w:t>
      </w:r>
      <w:r>
        <w:rPr>
          <w:rFonts w:ascii="Times New Roman" w:hAnsi="Times New Roman"/>
          <w:sz w:val="28"/>
          <w:szCs w:val="28"/>
          <w:lang w:val="uk-UA" w:eastAsia="uk-UA"/>
        </w:rPr>
        <w:t>е нижчому, ніж до об’єднання.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Організацію громадських обговорень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Городищенській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сільській раді з питань, визначених цим Порядком, здійснює сільський голова.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Сільський голова забезпечує вивчення пропозицій щодо добровільного об’єднання територіальних гром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ад та їх громадське обговорення, яке проводиться протягом 30 днів з дня надходження такої пропозиції. 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Громадське обговорення підготовлених спільною робочою групою проектів рішень щодо добровільного об’єднання територіальних громад сільський голова забезпе</w:t>
      </w:r>
      <w:r>
        <w:rPr>
          <w:rFonts w:ascii="Times New Roman" w:hAnsi="Times New Roman"/>
          <w:sz w:val="28"/>
          <w:szCs w:val="28"/>
          <w:lang w:val="uk-UA" w:eastAsia="uk-UA"/>
        </w:rPr>
        <w:t>чує протягом 60 днів з дня їх підготовки.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/>
          <w:sz w:val="28"/>
          <w:szCs w:val="28"/>
          <w:lang w:eastAsia="uk-UA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метою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голова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приймає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положень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Законів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місцеве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», «Про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добровільне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громад».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сільського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  повинно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істити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виноситься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дату, час,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місце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  та строк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форму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  та склад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робочої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групи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про про</w:t>
      </w:r>
      <w:r>
        <w:rPr>
          <w:rFonts w:ascii="Times New Roman" w:hAnsi="Times New Roman"/>
          <w:sz w:val="28"/>
          <w:szCs w:val="28"/>
          <w:lang w:val="uk-UA"/>
        </w:rPr>
        <w:t>позицію добровільного об’єднання територіальних громад та її громадське обговорення оприлюднюється шляхом опублікування такої інформації на офіційному веб-сайті Городищенської сільської  ради та/або оприлюднення на інформаційних стендах сільської ради та/а</w:t>
      </w:r>
      <w:r>
        <w:rPr>
          <w:rFonts w:ascii="Times New Roman" w:hAnsi="Times New Roman"/>
          <w:sz w:val="28"/>
          <w:szCs w:val="28"/>
          <w:lang w:val="uk-UA"/>
        </w:rPr>
        <w:t>бо у інший спосіб, який забезпечує максимальне інформування територіальної громади щодо такої пропозиції.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Повідомлення про пропозицію добровільного об’єднання територіальних громад  </w:t>
      </w:r>
      <w:r>
        <w:rPr>
          <w:rFonts w:ascii="Times New Roman" w:hAnsi="Times New Roman"/>
          <w:sz w:val="28"/>
          <w:szCs w:val="28"/>
          <w:shd w:val="clear" w:color="auto" w:fill="F9F9F0"/>
          <w:lang w:val="uk-UA"/>
        </w:rPr>
        <w:t xml:space="preserve">та її громадське обговорення </w:t>
      </w:r>
      <w:r>
        <w:rPr>
          <w:rFonts w:ascii="Times New Roman" w:hAnsi="Times New Roman"/>
          <w:sz w:val="28"/>
          <w:szCs w:val="28"/>
          <w:lang w:val="uk-UA" w:eastAsia="uk-UA"/>
        </w:rPr>
        <w:t>повинно містити:</w:t>
      </w:r>
    </w:p>
    <w:p w:rsidR="00D765BB" w:rsidRDefault="005102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змі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D765BB" w:rsidRDefault="005102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ініціатора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D765BB" w:rsidRDefault="005102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ісце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дату і час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D765BB" w:rsidRDefault="005102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про форму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зауваження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добровільного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об’єднання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громад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проектів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ішень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подавати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D765BB" w:rsidRDefault="005102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повнолітні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дієздатні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фізичні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є членами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Городищенської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ради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D765BB" w:rsidRDefault="005102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депутати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Городищенської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сільської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ради.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Зауваження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проектів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ішень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подаються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упродовж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двадцяти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після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опублікування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оголошення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)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процедури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зауваження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подані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особами,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визначеними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пунктом 2.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подані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ісля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встановленого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строку,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залишаються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без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роз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гляду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Пропозиції, зауваження тощо подаються у письмовому вигляді із зазначенням прізвища, ім'я та по батькові, місця проживання, скріплюються особистим підписом особи, а для депутатів – додатково із посиланням на статус депутата, і повинні містити мотивов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ані обґрунтування з урахуванням вимог Закону України «Про добровільне об’єднання територіальних громад».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зауваження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викладені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письмовій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формі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ідлягають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реєстрації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розглядаються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5-ти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денний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строк. За результатами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заявнику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цей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же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термін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надається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письмова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відповідь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Анонімні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зауваження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реєструються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і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розглядаються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 </w:t>
      </w:r>
    </w:p>
    <w:p w:rsidR="00D765BB" w:rsidRDefault="00D765BB">
      <w:pPr>
        <w:shd w:val="clear" w:color="auto" w:fill="FFFFFF"/>
        <w:spacing w:after="0" w:line="240" w:lineRule="auto"/>
        <w:ind w:left="19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765BB" w:rsidRDefault="005102E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Порядок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оприлюднення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результатів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обговорень</w:t>
      </w:r>
      <w:proofErr w:type="spellEnd"/>
    </w:p>
    <w:p w:rsidR="00D765BB" w:rsidRDefault="00D765BB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обран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Порядку форм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>
        <w:rPr>
          <w:rFonts w:ascii="Times New Roman" w:hAnsi="Times New Roman"/>
          <w:sz w:val="28"/>
          <w:szCs w:val="28"/>
          <w:lang w:eastAsia="uk-UA"/>
        </w:rPr>
        <w:t xml:space="preserve">, проводиться в день,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визначений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сільським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головою.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час такого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доповідається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добровільного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територіальних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громад </w:t>
      </w:r>
      <w:r>
        <w:rPr>
          <w:rFonts w:ascii="Times New Roman" w:hAnsi="Times New Roman"/>
          <w:sz w:val="28"/>
          <w:szCs w:val="28"/>
          <w:lang w:val="uk-UA" w:eastAsia="uk-UA"/>
        </w:rPr>
        <w:t>та/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проекти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рішень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добровільне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Городищенської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ра</w:t>
      </w:r>
      <w:r>
        <w:rPr>
          <w:rFonts w:ascii="Times New Roman" w:hAnsi="Times New Roman"/>
          <w:sz w:val="28"/>
          <w:szCs w:val="28"/>
          <w:lang w:eastAsia="uk-UA"/>
        </w:rPr>
        <w:t xml:space="preserve">ди 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суміжними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територіальними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громадами,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є предметом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отримані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та/або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зауваження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розгляду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складається</w:t>
      </w:r>
      <w:r>
        <w:rPr>
          <w:rFonts w:ascii="Times New Roman" w:hAnsi="Times New Roman"/>
          <w:sz w:val="28"/>
          <w:szCs w:val="28"/>
          <w:lang w:eastAsia="uk-UA"/>
        </w:rPr>
        <w:t xml:space="preserve"> протокол</w:t>
      </w:r>
      <w:r>
        <w:rPr>
          <w:rFonts w:ascii="Times New Roman" w:hAnsi="Times New Roman"/>
          <w:sz w:val="28"/>
          <w:szCs w:val="28"/>
          <w:lang w:val="uk-UA" w:eastAsia="uk-UA"/>
        </w:rPr>
        <w:t>, який</w:t>
      </w:r>
      <w:r>
        <w:rPr>
          <w:rFonts w:ascii="Times New Roman" w:hAnsi="Times New Roman"/>
          <w:sz w:val="28"/>
          <w:szCs w:val="28"/>
          <w:lang w:eastAsia="uk-UA"/>
        </w:rPr>
        <w:t xml:space="preserve"> повинен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містити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перебіг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тому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числі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</w:t>
      </w:r>
    </w:p>
    <w:p w:rsidR="00D765BB" w:rsidRDefault="005102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предмет, час і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eastAsia="uk-UA"/>
        </w:rPr>
        <w:t>м</w:t>
      </w:r>
      <w:proofErr w:type="gramEnd"/>
      <w:r>
        <w:rPr>
          <w:rFonts w:ascii="Times New Roman" w:hAnsi="Times New Roman"/>
          <w:i/>
          <w:sz w:val="28"/>
          <w:szCs w:val="28"/>
          <w:lang w:eastAsia="uk-UA"/>
        </w:rPr>
        <w:t>ісце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громадського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>;</w:t>
      </w:r>
    </w:p>
    <w:p w:rsidR="00D765BB" w:rsidRDefault="005102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кількість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 зареєстрованих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учасників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>;</w:t>
      </w:r>
    </w:p>
    <w:p w:rsidR="00D765BB" w:rsidRDefault="005102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ініціатора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добровільного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об’єднання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територіальних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громад;</w:t>
      </w:r>
    </w:p>
    <w:p w:rsidR="00D765BB" w:rsidRDefault="005102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організатора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>;</w:t>
      </w:r>
    </w:p>
    <w:p w:rsidR="00D765BB" w:rsidRDefault="005102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 xml:space="preserve">теми та короткий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змі</w:t>
      </w:r>
      <w:proofErr w:type="gramStart"/>
      <w:r>
        <w:rPr>
          <w:rFonts w:ascii="Times New Roman" w:hAnsi="Times New Roman"/>
          <w:i/>
          <w:sz w:val="28"/>
          <w:szCs w:val="28"/>
          <w:lang w:eastAsia="uk-UA"/>
        </w:rPr>
        <w:t>ст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доповідей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виступів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учасників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>;</w:t>
      </w:r>
    </w:p>
    <w:p w:rsidR="00D765BB" w:rsidRDefault="005102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пропозиції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висловлені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ході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uk-UA"/>
        </w:rPr>
        <w:t>;</w:t>
      </w:r>
    </w:p>
    <w:p w:rsidR="00D765BB" w:rsidRDefault="005102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звернення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рекомендації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учасників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обговорення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eastAsia="uk-UA"/>
        </w:rPr>
        <w:t>тощо</w:t>
      </w:r>
      <w:proofErr w:type="spellEnd"/>
      <w:r>
        <w:rPr>
          <w:rFonts w:ascii="Times New Roman" w:hAnsi="Times New Roman"/>
          <w:i/>
          <w:sz w:val="28"/>
          <w:szCs w:val="28"/>
          <w:lang w:eastAsia="uk-UA"/>
        </w:rPr>
        <w:t>;</w:t>
      </w:r>
    </w:p>
    <w:p w:rsidR="00D765BB" w:rsidRDefault="005102E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голосування</w:t>
      </w:r>
      <w:proofErr w:type="spellEnd"/>
      <w:proofErr w:type="gramStart"/>
      <w:r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</w:p>
    <w:p w:rsidR="00D765BB" w:rsidRDefault="005102E7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ідписує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. До протоколу 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список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 з </w:t>
      </w:r>
      <w:proofErr w:type="spellStart"/>
      <w:r>
        <w:rPr>
          <w:rFonts w:ascii="Times New Roman" w:hAnsi="Times New Roman"/>
          <w:sz w:val="28"/>
          <w:szCs w:val="28"/>
        </w:rPr>
        <w:t>вказанням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ізвища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, по - </w:t>
      </w:r>
      <w:proofErr w:type="spellStart"/>
      <w:r>
        <w:rPr>
          <w:rFonts w:ascii="Times New Roman" w:hAnsi="Times New Roman"/>
          <w:sz w:val="28"/>
          <w:szCs w:val="28"/>
        </w:rPr>
        <w:t>батькові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/>
          <w:sz w:val="28"/>
          <w:szCs w:val="28"/>
        </w:rPr>
        <w:t xml:space="preserve">. Протокол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оприлюднюється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веб-</w:t>
      </w:r>
      <w:proofErr w:type="spellStart"/>
      <w:r>
        <w:rPr>
          <w:rFonts w:ascii="Times New Roman" w:hAnsi="Times New Roman"/>
          <w:sz w:val="28"/>
          <w:szCs w:val="28"/>
        </w:rPr>
        <w:t>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Городищенської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ради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стендах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та/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інший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розглянуті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враховані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мотивовано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відхилені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765BB" w:rsidRDefault="005102E7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Робоча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група з організації проведення громадського обговорення протягом 3 днів після закінчення строку подання пропозицій (зауважень) узагальнює їх та готує звіт, у якому зазначаються зміст питання, що виносилося на громадське обговорення, інформація про осіб, я</w:t>
      </w:r>
      <w:r>
        <w:rPr>
          <w:rFonts w:ascii="Times New Roman" w:hAnsi="Times New Roman"/>
          <w:sz w:val="28"/>
          <w:szCs w:val="28"/>
          <w:lang w:val="uk-UA" w:eastAsia="uk-UA"/>
        </w:rPr>
        <w:t>кі взяли участь в обговоренні порушеного питання, а також узагальнений аналіз пропозицій (зауважень), що надійшли під час проведення громадського обговорення.</w:t>
      </w:r>
    </w:p>
    <w:p w:rsidR="00D765BB" w:rsidRDefault="005102E7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Звіт підписується усіма членами робочої групи та</w:t>
      </w:r>
      <w:r>
        <w:rPr>
          <w:rFonts w:ascii="Times New Roman" w:hAnsi="Times New Roman"/>
          <w:sz w:val="28"/>
          <w:szCs w:val="28"/>
          <w:lang w:eastAsia="uk-UA"/>
        </w:rPr>
        <w:t> 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надається сільському голові для винесення його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разом із пропозицією на розгляд наступної сесії сільської ради для прийняття рішення про надання згоди на добровільне об’єднання територіальних громад </w:t>
      </w:r>
      <w:r>
        <w:rPr>
          <w:rFonts w:ascii="Times New Roman" w:hAnsi="Times New Roman"/>
          <w:iCs/>
          <w:sz w:val="28"/>
          <w:szCs w:val="28"/>
          <w:lang w:val="uk-UA"/>
        </w:rPr>
        <w:t>або про відмову в наданні згоди.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>.</w:t>
      </w:r>
    </w:p>
    <w:p w:rsidR="00D765BB" w:rsidRDefault="005102E7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Оприлюднення результатів громадського обговорення здійснюється шляхом 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публікування  </w:t>
      </w:r>
      <w:r>
        <w:rPr>
          <w:rFonts w:ascii="Times New Roman" w:hAnsi="Times New Roman"/>
          <w:sz w:val="28"/>
          <w:szCs w:val="28"/>
          <w:lang w:val="uk-UA"/>
        </w:rPr>
        <w:t>на офіційному веб-сайті Городищенської сільської  ради та/або на інформаційних стендах сільської ради та/або у інший спосіб.</w:t>
      </w:r>
    </w:p>
    <w:p w:rsidR="00D765BB" w:rsidRDefault="005102E7">
      <w:pPr>
        <w:pStyle w:val="a7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Після завершення громадського обговорення, пропозиція щодо добровільного об’єднання територіальних громад подається 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 Городищенської сільської ради на наступну сесію для прийняття рішення про надання згоди на добровільне об’єднання територіальних громад та делегування представника (представників) до спільної робочої групи </w:t>
      </w:r>
      <w:r>
        <w:rPr>
          <w:rFonts w:ascii="Times New Roman" w:hAnsi="Times New Roman"/>
          <w:sz w:val="28"/>
          <w:szCs w:val="28"/>
          <w:lang w:val="uk-UA"/>
        </w:rPr>
        <w:t>або про відмову в наданні згоди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> </w:t>
      </w:r>
    </w:p>
    <w:p w:rsidR="00D765BB" w:rsidRDefault="00D765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765BB" w:rsidRDefault="005102E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Прикінцеві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оложення</w:t>
      </w:r>
      <w:proofErr w:type="spellEnd"/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Зміни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доповнення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приймаються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виключно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пленарному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Городищенської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ради.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обговорень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врегульовані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Положенням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регулюються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вимог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чинного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законодавств</w:t>
      </w:r>
      <w:r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765BB" w:rsidRDefault="005102E7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Вимоги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встановленні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цим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Положенням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є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обов’язковими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765BB" w:rsidRDefault="00D765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765BB" w:rsidRDefault="00D765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D765BB" w:rsidRDefault="005102E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>Сільський голова                                                                                П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.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uk-UA"/>
        </w:rPr>
        <w:t>Павлюк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</w:t>
      </w:r>
    </w:p>
    <w:p w:rsidR="00D765BB" w:rsidRDefault="0051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 </w:t>
      </w:r>
    </w:p>
    <w:p w:rsidR="00D765BB" w:rsidRDefault="00D765BB">
      <w:pPr>
        <w:rPr>
          <w:rFonts w:ascii="Times New Roman" w:hAnsi="Times New Roman"/>
          <w:sz w:val="28"/>
          <w:szCs w:val="28"/>
          <w:lang w:val="uk-UA"/>
        </w:rPr>
      </w:pPr>
    </w:p>
    <w:p w:rsidR="00D765BB" w:rsidRDefault="00D765BB">
      <w:pPr>
        <w:rPr>
          <w:rFonts w:ascii="Times New Roman" w:hAnsi="Times New Roman"/>
          <w:sz w:val="28"/>
          <w:szCs w:val="28"/>
          <w:lang w:val="uk-UA"/>
        </w:rPr>
      </w:pPr>
    </w:p>
    <w:p w:rsidR="00D765BB" w:rsidRDefault="00D765BB">
      <w:pPr>
        <w:rPr>
          <w:rFonts w:ascii="Times New Roman" w:hAnsi="Times New Roman"/>
          <w:sz w:val="28"/>
          <w:szCs w:val="28"/>
        </w:rPr>
      </w:pPr>
    </w:p>
    <w:p w:rsidR="00D765BB" w:rsidRDefault="00D765BB">
      <w:pPr>
        <w:rPr>
          <w:rFonts w:ascii="Times New Roman" w:hAnsi="Times New Roman"/>
          <w:sz w:val="28"/>
          <w:szCs w:val="28"/>
        </w:rPr>
      </w:pPr>
    </w:p>
    <w:sectPr w:rsidR="00D76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784"/>
    <w:multiLevelType w:val="multilevel"/>
    <w:tmpl w:val="1C745784"/>
    <w:lvl w:ilvl="0">
      <w:start w:val="1"/>
      <w:numFmt w:val="bullet"/>
      <w:lvlText w:val="–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DC958E7"/>
    <w:multiLevelType w:val="multilevel"/>
    <w:tmpl w:val="1DC958E7"/>
    <w:lvl w:ilvl="0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84F7B1C"/>
    <w:multiLevelType w:val="multilevel"/>
    <w:tmpl w:val="384F7B1C"/>
    <w:lvl w:ilvl="0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92B56"/>
    <w:multiLevelType w:val="multilevel"/>
    <w:tmpl w:val="65692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08"/>
    <w:rsid w:val="00017800"/>
    <w:rsid w:val="000D584F"/>
    <w:rsid w:val="000D7AAE"/>
    <w:rsid w:val="00166BB0"/>
    <w:rsid w:val="00246129"/>
    <w:rsid w:val="002C07E9"/>
    <w:rsid w:val="003B5E2E"/>
    <w:rsid w:val="003C7DAE"/>
    <w:rsid w:val="003F044D"/>
    <w:rsid w:val="00486E76"/>
    <w:rsid w:val="0049189E"/>
    <w:rsid w:val="005102E7"/>
    <w:rsid w:val="005E0366"/>
    <w:rsid w:val="005E0B08"/>
    <w:rsid w:val="00633073"/>
    <w:rsid w:val="006604CF"/>
    <w:rsid w:val="006B1A68"/>
    <w:rsid w:val="006D2F61"/>
    <w:rsid w:val="006D5BFE"/>
    <w:rsid w:val="007077AE"/>
    <w:rsid w:val="007364B3"/>
    <w:rsid w:val="00850E7E"/>
    <w:rsid w:val="00941A31"/>
    <w:rsid w:val="009C6BA9"/>
    <w:rsid w:val="00A62385"/>
    <w:rsid w:val="00AA775C"/>
    <w:rsid w:val="00B85617"/>
    <w:rsid w:val="00BC19DE"/>
    <w:rsid w:val="00CE0071"/>
    <w:rsid w:val="00D70465"/>
    <w:rsid w:val="00D765BB"/>
    <w:rsid w:val="00EE6054"/>
    <w:rsid w:val="1D3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Calibri" w:eastAsia="Times New Roman" w:hAnsi="Calibri" w:cs="Times New Roman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Calibri" w:eastAsia="Times New Roman" w:hAnsi="Calibri" w:cs="Times New Roman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7174</Words>
  <Characters>4090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2019-07-22T14:15:00Z</dcterms:created>
  <dcterms:modified xsi:type="dcterms:W3CDTF">2019-07-22T14:17:00Z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